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center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GEVOLAZIONI SPECIALI PER GLI STUDENTI DELL’ANGELICUM</w:t>
      </w:r>
      <w:r>
        <w:rPr>
          <w:sz w:val="20"/>
          <w:szCs w:val="20"/>
        </w:rPr>
        <w:t> </w:t>
      </w:r>
    </w:p>
    <w:p>
      <w:pPr>
        <w:pStyle w:val="TextBody"/>
        <w:bidi w:val="0"/>
        <w:jc w:val="center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ABBONAMENTO ATAC</w:t>
      </w:r>
      <w:r>
        <w:rPr>
          <w:sz w:val="20"/>
          <w:szCs w:val="20"/>
        </w:rPr>
        <w:t> 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Gli studenti dell’Angelicum hanno diritto ad uno sconto sull’abbonamento annuale al trasporto pubblico nel caso in cui: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non abbiano superato i 26 anni di età (i.e. fino al giorno del compimento del 26° anno);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risiedano a Roma;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color w:val="30373D"/>
          <w:sz w:val="20"/>
          <w:szCs w:val="20"/>
        </w:rPr>
        <w:t>abbiano un reddito ISEE non superiore a € 20.000,00</w:t>
      </w:r>
      <w:r>
        <w:rPr>
          <w:rFonts w:ascii="Titillium Web" w:hAnsi="Titillium Web"/>
          <w:color w:val="30373D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 costo annuale viene calcolato in base al reddito ISEE:</w:t>
      </w:r>
    </w:p>
    <w:p>
      <w:pPr>
        <w:pStyle w:val="Normal"/>
        <w:bidi w:val="0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  <w:bookmarkStart w:id="0" w:name="table01"/>
      <w:bookmarkStart w:id="1" w:name="table01"/>
      <w:bookmarkEnd w:id="1"/>
    </w:p>
    <w:tbl>
      <w:tblPr>
        <w:tblW w:w="7965" w:type="dxa"/>
        <w:jc w:val="left"/>
        <w:tblInd w:w="-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65"/>
      </w:tblGrid>
      <w:tr>
        <w:trPr/>
        <w:tc>
          <w:tcPr>
            <w:tcW w:w="7965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tbl>
            <w:tblPr>
              <w:tblW w:w="4007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73"/>
              <w:gridCol w:w="834"/>
            </w:tblGrid>
            <w:tr>
              <w:trPr/>
              <w:tc>
                <w:tcPr>
                  <w:tcW w:w="317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left"/>
                    <w:rPr>
                      <w:rFonts w:ascii="Titillium Web" w:hAnsi="Titillium Web"/>
                      <w:b/>
                      <w:color w:val="30373D"/>
                      <w:sz w:val="20"/>
                      <w:szCs w:val="20"/>
                    </w:rPr>
                  </w:pPr>
                  <w:r>
                    <w:rPr>
                      <w:rFonts w:ascii="Titillium Web" w:hAnsi="Titillium Web"/>
                      <w:b/>
                      <w:color w:val="30373D"/>
                      <w:sz w:val="20"/>
                      <w:szCs w:val="20"/>
                    </w:rPr>
                    <w:t xml:space="preserve">REDDITO ISEE </w:t>
                  </w:r>
                </w:p>
              </w:tc>
              <w:tc>
                <w:tcPr>
                  <w:tcW w:w="83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jc w:val="left"/>
                    <w:rPr>
                      <w:rFonts w:ascii="Titillium Web" w:hAnsi="Titillium Web"/>
                      <w:b/>
                      <w:color w:val="30373D"/>
                      <w:sz w:val="20"/>
                      <w:szCs w:val="20"/>
                    </w:rPr>
                  </w:pPr>
                  <w:r>
                    <w:rPr>
                      <w:rFonts w:ascii="Titillium Web" w:hAnsi="Titillium Web"/>
                      <w:b/>
                      <w:color w:val="30373D"/>
                      <w:sz w:val="20"/>
                      <w:szCs w:val="20"/>
                    </w:rPr>
                    <w:t>COSTO</w:t>
                  </w:r>
                </w:p>
              </w:tc>
            </w:tr>
            <w:tr>
              <w:trPr/>
              <w:tc>
                <w:tcPr>
                  <w:tcW w:w="3173" w:type="dxa"/>
                  <w:tcBorders/>
                  <w:vAlign w:val="bottom"/>
                </w:tcPr>
                <w:p>
                  <w:pPr>
                    <w:pStyle w:val="TableContents"/>
                    <w:bidi w:val="0"/>
                    <w:jc w:val="left"/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</w:pPr>
                  <w:r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  <w:t>Fino a € 10.000,00</w:t>
                  </w:r>
                </w:p>
              </w:tc>
              <w:tc>
                <w:tcPr>
                  <w:tcW w:w="834" w:type="dxa"/>
                  <w:tcBorders/>
                  <w:vAlign w:val="bottom"/>
                </w:tcPr>
                <w:p>
                  <w:pPr>
                    <w:pStyle w:val="TableContents"/>
                    <w:bidi w:val="0"/>
                    <w:jc w:val="left"/>
                    <w:rPr>
                      <w:color w:val="30373D"/>
                      <w:sz w:val="20"/>
                      <w:szCs w:val="20"/>
                    </w:rPr>
                  </w:pPr>
                  <w:r>
                    <w:rPr>
                      <w:color w:val="30373D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  <w:t>130</w:t>
                  </w:r>
                </w:p>
              </w:tc>
            </w:tr>
            <w:tr>
              <w:trPr/>
              <w:tc>
                <w:tcPr>
                  <w:tcW w:w="3173" w:type="dxa"/>
                  <w:tcBorders/>
                  <w:vAlign w:val="bottom"/>
                </w:tcPr>
                <w:p>
                  <w:pPr>
                    <w:pStyle w:val="TableContents"/>
                    <w:bidi w:val="0"/>
                    <w:jc w:val="left"/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</w:pPr>
                  <w:r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  <w:t>Da € 10.00,01 a € 15.000,00</w:t>
                  </w:r>
                </w:p>
              </w:tc>
              <w:tc>
                <w:tcPr>
                  <w:tcW w:w="834" w:type="dxa"/>
                  <w:tcBorders/>
                  <w:vAlign w:val="bottom"/>
                </w:tcPr>
                <w:p>
                  <w:pPr>
                    <w:pStyle w:val="TableContents"/>
                    <w:bidi w:val="0"/>
                    <w:jc w:val="left"/>
                    <w:rPr>
                      <w:color w:val="30373D"/>
                      <w:sz w:val="20"/>
                      <w:szCs w:val="20"/>
                    </w:rPr>
                  </w:pPr>
                  <w:r>
                    <w:rPr>
                      <w:color w:val="30373D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  <w:t>140</w:t>
                  </w:r>
                </w:p>
              </w:tc>
            </w:tr>
            <w:tr>
              <w:trPr/>
              <w:tc>
                <w:tcPr>
                  <w:tcW w:w="3173" w:type="dxa"/>
                  <w:tcBorders/>
                  <w:vAlign w:val="bottom"/>
                </w:tcPr>
                <w:p>
                  <w:pPr>
                    <w:pStyle w:val="TableContents"/>
                    <w:bidi w:val="0"/>
                    <w:jc w:val="left"/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</w:pPr>
                  <w:r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  <w:t>Da €15.000,01 a € 20.000,00</w:t>
                  </w:r>
                </w:p>
              </w:tc>
              <w:tc>
                <w:tcPr>
                  <w:tcW w:w="834" w:type="dxa"/>
                  <w:tcBorders/>
                  <w:vAlign w:val="bottom"/>
                </w:tcPr>
                <w:p>
                  <w:pPr>
                    <w:pStyle w:val="TableContents"/>
                    <w:bidi w:val="0"/>
                    <w:jc w:val="left"/>
                    <w:rPr>
                      <w:color w:val="30373D"/>
                      <w:sz w:val="20"/>
                      <w:szCs w:val="20"/>
                    </w:rPr>
                  </w:pPr>
                  <w:r>
                    <w:rPr>
                      <w:color w:val="30373D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Titillium Web" w:hAnsi="Titillium Web"/>
                      <w:color w:val="30373D"/>
                      <w:sz w:val="20"/>
                      <w:szCs w:val="20"/>
                    </w:rPr>
                    <w:t>150</w:t>
                  </w:r>
                </w:p>
              </w:tc>
            </w:tr>
          </w:tbl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extBody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 beneficiare di questo sconto, puoi recarti in una delle biglietterie Atac abilitate portando con te: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Garamond" w:hAnsi="Garamond"/>
          <w:sz w:val="20"/>
          <w:szCs w:val="20"/>
        </w:rPr>
        <w:t xml:space="preserve">Questo </w:t>
      </w:r>
      <w:hyperlink r:id="rId2">
        <w:r>
          <w:rPr>
            <w:rStyle w:val="InternetLink"/>
            <w:rFonts w:ascii="Garamond" w:hAnsi="Garamond"/>
            <w:color w:val="0563C1"/>
            <w:sz w:val="20"/>
            <w:szCs w:val="20"/>
            <w:u w:val="single"/>
          </w:rPr>
          <w:t>modulo</w:t>
        </w:r>
      </w:hyperlink>
      <w:r>
        <w:rPr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debitamente compilato in tutte le sue parti;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Una fotocopia del tuo documento;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Certificazione ISEE in corso di validità;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Certificato di iscrizione all’anno accademico per cui si presenta la domanda.</w:t>
      </w:r>
      <w:r>
        <w:rPr>
          <w:sz w:val="20"/>
          <w:szCs w:val="20"/>
        </w:rPr>
        <w:t xml:space="preserve"> 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 ulteriori informazioni, si prega di consultare il seguente link:</w:t>
      </w:r>
    </w:p>
    <w:p>
      <w:pPr>
        <w:pStyle w:val="TextBody"/>
        <w:bidi w:val="0"/>
        <w:jc w:val="both"/>
        <w:rPr/>
      </w:pPr>
      <w:hyperlink r:id="rId3">
        <w:r>
          <w:rPr>
            <w:rStyle w:val="InternetLink"/>
            <w:rFonts w:ascii="Garamond" w:hAnsi="Garamond"/>
            <w:color w:val="0563C1"/>
            <w:sz w:val="20"/>
            <w:szCs w:val="20"/>
            <w:u w:val="single"/>
          </w:rPr>
          <w:t>https://www.atac.roma.it/biglietti-e-abbonamenti/giovani-e-studenti</w:t>
        </w:r>
      </w:hyperlink>
      <w:r>
        <w:rPr>
          <w:sz w:val="20"/>
          <w:szCs w:val="20"/>
        </w:rPr>
        <w:t> </w:t>
      </w:r>
    </w:p>
    <w:p>
      <w:pPr>
        <w:pStyle w:val="TextBody"/>
        <w:bidi w:val="0"/>
        <w:jc w:val="center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MIC CARD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La Mic Card permette di </w:t>
      </w:r>
      <w:r>
        <w:rPr>
          <w:rFonts w:ascii="Garamond" w:hAnsi="Garamond"/>
          <w:b/>
          <w:sz w:val="20"/>
          <w:szCs w:val="20"/>
        </w:rPr>
        <w:t xml:space="preserve">entrare gratuitamente per 12 mesi nei Musei Civici </w:t>
      </w:r>
      <w:r>
        <w:rPr>
          <w:rFonts w:ascii="Garamond" w:hAnsi="Garamond"/>
          <w:sz w:val="20"/>
          <w:szCs w:val="20"/>
        </w:rPr>
        <w:t xml:space="preserve">e ha un costo di </w:t>
      </w:r>
      <w:r>
        <w:rPr>
          <w:rFonts w:ascii="Garamond" w:hAnsi="Garamond"/>
          <w:b/>
          <w:sz w:val="20"/>
          <w:szCs w:val="20"/>
        </w:rPr>
        <w:t>5 euro.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Puoi usare la MIC se sei: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maggiorenne e residente nella città metropolitana di Roma;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studente negli atenei pubblici e privati della città metropolitana di Roma</w:t>
      </w:r>
      <w:r>
        <w:rPr>
          <w:rFonts w:ascii="Garamond" w:hAnsi="Garamond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domiciliato/a temporaneamente nella città metropolitana di Roma (iscritto/a allo Schedario della Popolazione Temporanea - SPT).</w:t>
      </w:r>
      <w:r>
        <w:rPr>
          <w:sz w:val="20"/>
          <w:szCs w:val="20"/>
        </w:rPr>
        <w:t xml:space="preserve"> 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Puoi acquistare la MIC: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i Musei Civici (ad eccezione del Museo di Casal de’ Pazzi)</w:t>
      </w:r>
      <w:bookmarkStart w:id="2" w:name="_Hlk89090073"/>
      <w:bookmarkEnd w:id="2"/>
      <w:r>
        <w:rPr>
          <w:rFonts w:ascii="Garamond" w:hAnsi="Garamond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>
          <w:rFonts w:ascii="Garamond" w:hAnsi="Garamond"/>
          <w:sz w:val="20"/>
          <w:szCs w:val="20"/>
        </w:rPr>
        <w:t xml:space="preserve">nei </w:t>
      </w:r>
      <w:hyperlink r:id="rId4">
        <w:r>
          <w:rPr>
            <w:rStyle w:val="InternetLink"/>
            <w:rFonts w:ascii="Garamond" w:hAnsi="Garamond"/>
            <w:color w:val="0563C1"/>
            <w:sz w:val="20"/>
            <w:szCs w:val="20"/>
            <w:u w:val="single"/>
          </w:rPr>
          <w:t>Tourist Infopoint</w:t>
        </w:r>
      </w:hyperlink>
      <w:r>
        <w:rPr>
          <w:rFonts w:ascii="Garamond" w:hAnsi="Garamond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1414" w:leader="none"/>
        </w:tabs>
        <w:bidi w:val="0"/>
        <w:ind w:left="1414" w:hanging="283"/>
        <w:jc w:val="left"/>
        <w:rPr/>
      </w:pPr>
      <w:r>
        <w:rPr>
          <w:rFonts w:ascii="Garamond" w:hAnsi="Garamond"/>
          <w:sz w:val="20"/>
          <w:szCs w:val="20"/>
        </w:rPr>
        <w:t xml:space="preserve">online </w:t>
      </w:r>
      <w:hyperlink r:id="rId5">
        <w:r>
          <w:rPr>
            <w:rStyle w:val="InternetLink"/>
            <w:rFonts w:ascii="Garamond" w:hAnsi="Garamond"/>
            <w:color w:val="0563C1"/>
            <w:sz w:val="20"/>
            <w:szCs w:val="20"/>
            <w:u w:val="single"/>
          </w:rPr>
          <w:t>qui</w:t>
        </w:r>
      </w:hyperlink>
      <w:r>
        <w:rPr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(da ritirare e attivare in un Museo o un Tourist Infopoint).</w:t>
      </w:r>
      <w:r>
        <w:rPr>
          <w:sz w:val="20"/>
          <w:szCs w:val="20"/>
        </w:rPr>
        <w:t xml:space="preserve"> </w:t>
      </w:r>
    </w:p>
    <w:p>
      <w:pPr>
        <w:pStyle w:val="TextBody"/>
        <w:bidi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 ulteriori informazioni, si prega di consultare il seguente link:</w:t>
      </w:r>
    </w:p>
    <w:p>
      <w:pPr>
        <w:pStyle w:val="TextBody"/>
        <w:bidi w:val="0"/>
        <w:jc w:val="both"/>
        <w:rPr/>
      </w:pPr>
      <w:hyperlink r:id="rId6">
        <w:r>
          <w:rPr>
            <w:rStyle w:val="InternetLink"/>
            <w:rFonts w:ascii="Garamond" w:hAnsi="Garamond"/>
            <w:color w:val="0563C1"/>
            <w:sz w:val="20"/>
            <w:szCs w:val="20"/>
            <w:u w:val="single"/>
          </w:rPr>
          <w:t>http://www.museiincomuneroma.it/it/infopage/mic-card</w:t>
        </w:r>
      </w:hyperlink>
      <w:r>
        <w:rPr>
          <w:sz w:val="20"/>
          <w:szCs w:val="20"/>
        </w:rPr>
        <w:t> 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aramond">
    <w:charset w:val="01"/>
    <w:family w:val="auto"/>
    <w:pitch w:val="default"/>
  </w:font>
  <w:font w:name="Titillium Web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tac.roma.it/docs/default-source/download-vari/modulo-abbonamento-annuale-giovani-e-studenti.pdf?sfvrsn=97ec1_2" TargetMode="External"/><Relationship Id="rId3" Type="http://schemas.openxmlformats.org/officeDocument/2006/relationships/hyperlink" Target="https://www.atac.roma.it/biglietti-e-abbonamenti/giovani-e-studenti" TargetMode="External"/><Relationship Id="rId4" Type="http://schemas.openxmlformats.org/officeDocument/2006/relationships/hyperlink" Target="http://www.060608.it/it/accoglienza/servizi/servizi-turistici/tourist-infopoint-di-roma.html" TargetMode="External"/><Relationship Id="rId5" Type="http://schemas.openxmlformats.org/officeDocument/2006/relationships/hyperlink" Target="https://museiincomuneroma.vivaticket.it/ita/event/mic-card/138749?qubsq=40526e71-82f2-4bb0-af28-1ec7e17f79e6&amp;qubsp=30392469-949d-4047-b91b-fb957b9413c5&amp;qubsts=1638193711&amp;qubsc=bestunion&amp;qubse=vivaticketserver&amp;qubsrt=Safetynet&amp;qubsh=2492da621e3e646b0b2663bbe3e43e70" TargetMode="External"/><Relationship Id="rId6" Type="http://schemas.openxmlformats.org/officeDocument/2006/relationships/hyperlink" Target="http://www.museiincomuneroma.it/it/infopage/mic-card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LibreOffice/7.2.2.2$Linux_X86_64 LibreOffice_project/20$Build-2</Application>
  <AppVersion>15.0000</AppVersion>
  <Pages>1</Pages>
  <Words>265</Words>
  <Characters>1443</Characters>
  <CharactersWithSpaces>1680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2022-01-21T17:36:57Z</dcterms:created>
  <dc:creator/>
  <dc:description/>
  <dc:language>en-US</dc:language>
  <cp:lastModifiedBy/>
  <dcterms:modified xsi:type="dcterms:W3CDTF">2022-01-21T17:37:37Z</dcterms:modified>
  <cp:revision>1</cp:revision>
  <dc:subject/>
  <dc:title/>
</cp:coreProperties>
</file>